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DEPOSITION SUMMARY — PAGE-LINE FORMAT</w:t>
      </w:r>
    </w:p>
    <w:p>
      <w:r>
        <w:t>Litigation working template — pair with the AI working-copy transcript. Fuse Intelligence / VocalFuse.</w:t>
      </w:r>
    </w:p>
    <w:p>
      <w:pPr>
        <w:pStyle w:val="Heading1"/>
      </w:pPr>
      <w:r>
        <w:t>Header block (fill in)</w:t>
      </w:r>
    </w:p>
    <w:p>
      <w:r>
        <w:rPr>
          <w:b/>
        </w:rPr>
        <w:t xml:space="preserve">CASE (caption): </w:t>
      </w:r>
      <w:r>
        <w:t>[Case name v. Defendant, No. XX-XXXX]</w:t>
      </w:r>
    </w:p>
    <w:p>
      <w:r>
        <w:rPr>
          <w:b/>
        </w:rPr>
        <w:t xml:space="preserve">COURT: </w:t>
      </w:r>
      <w:r>
        <w:t>[District / county]</w:t>
      </w:r>
    </w:p>
    <w:p>
      <w:r>
        <w:rPr>
          <w:b/>
        </w:rPr>
        <w:t xml:space="preserve">WITNESS: </w:t>
      </w:r>
      <w:r>
        <w:t>[Full name] — [role: party / fact witness / expert]</w:t>
      </w:r>
    </w:p>
    <w:p>
      <w:r>
        <w:rPr>
          <w:b/>
        </w:rPr>
        <w:t xml:space="preserve">DEPOSITION DATE: </w:t>
      </w:r>
      <w:r>
        <w:t>[Date]  |  TRANSCRIPT PAGES: [###]</w:t>
      </w:r>
    </w:p>
    <w:p>
      <w:r>
        <w:rPr>
          <w:b/>
        </w:rPr>
        <w:t xml:space="preserve">TAKEN BY: </w:t>
      </w:r>
      <w:r>
        <w:t>[Attorney name, firm]</w:t>
      </w:r>
    </w:p>
    <w:p>
      <w:r>
        <w:rPr>
          <w:b/>
        </w:rPr>
        <w:t xml:space="preserve">TRANSCRIPT VERSION: </w:t>
      </w:r>
      <w:r>
        <w:t>[Rough / Final / Errata-checked]</w:t>
      </w:r>
    </w:p>
    <w:p>
      <w:r>
        <w:rPr>
          <w:b/>
        </w:rPr>
        <w:t xml:space="preserve">REPORTER / VIDEOGRAPHER: </w:t>
      </w:r>
      <w:r>
        <w:t>[Name, agency — if relevant]</w:t>
      </w:r>
    </w:p>
    <w:p>
      <w:r>
        <w:rPr>
          <w:b/>
        </w:rPr>
        <w:t xml:space="preserve">EXHIBITS REFERENCED: </w:t>
      </w:r>
      <w:r>
        <w:t>[Ex. 1, Ex. 2, ...]</w:t>
      </w:r>
    </w:p>
    <w:p>
      <w:pPr>
        <w:pStyle w:val="Heading1"/>
      </w:pPr>
      <w:r>
        <w:t>Issue tag key (edit to fit the case)</w:t>
      </w:r>
    </w:p>
    <w:p>
      <w:r>
        <w:t>LIAB = Liability    CAUS = Causation    DAM = Damages</w:t>
      </w:r>
    </w:p>
    <w:p>
      <w:r>
        <w:t>NOTICE = Notice/knowledge    IMPEACH = Impeachment/credibility</w:t>
      </w:r>
    </w:p>
    <w:p>
      <w:r>
        <w:t>POLICY = Policies/procedures    TIMELINE = Dates/times sequence</w:t>
      </w:r>
    </w:p>
    <w:p>
      <w:pPr>
        <w:pStyle w:val="Heading1"/>
      </w:pPr>
      <w:r>
        <w:t>Page:Line summary table (core working section)</w:t>
      </w:r>
    </w:p>
    <w:p>
      <w:r>
        <w:t>One row per entry. Keep summaries to 1–2 sentences. Cite ranges, not single lines; cover the full answer, not just the question.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Page:Line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Topic / issue tags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Summary (1–2 sentences)</w:t>
            </w:r>
          </w:p>
        </w:tc>
        <w:tc>
          <w:tcPr>
            <w:tcW w:type="dxa" w:w="2160"/>
          </w:tcPr>
          <w:p>
            <w:r>
              <w:rPr>
                <w:b/>
              </w:rPr>
              <w:t>Notes / follow-up</w:t>
            </w:r>
          </w:p>
        </w:tc>
      </w:tr>
      <w:tr>
        <w:tc>
          <w:tcPr>
            <w:tcW w:type="dxa" w:w="2160"/>
          </w:tcPr>
          <w:p>
            <w:r>
              <w:t>12:4–13:22</w:t>
            </w:r>
          </w:p>
        </w:tc>
        <w:tc>
          <w:tcPr>
            <w:tcW w:type="dxa" w:w="2160"/>
          </w:tcPr>
          <w:p>
            <w:r>
              <w:t>Background — TIMELINE</w:t>
            </w:r>
          </w:p>
        </w:tc>
        <w:tc>
          <w:tcPr>
            <w:tcW w:type="dxa" w:w="2160"/>
          </w:tcPr>
          <w:p>
            <w:r>
              <w:t>Witness first felt pain the morning after the collision, not at the scene; did not seek care for four days.</w:t>
            </w:r>
          </w:p>
        </w:tc>
        <w:tc>
          <w:tcPr>
            <w:tcW w:type="dxa" w:w="2160"/>
          </w:tcPr>
          <w:p>
            <w:r>
              <w:t>Compare to medical records p. 4</w:t>
            </w:r>
          </w:p>
        </w:tc>
      </w:tr>
      <w:tr>
        <w:tc>
          <w:tcPr>
            <w:tcW w:type="dxa" w:w="2160"/>
          </w:tcPr>
          <w:p>
            <w:r>
              <w:t>22:6–23:9</w:t>
            </w:r>
          </w:p>
        </w:tc>
        <w:tc>
          <w:tcPr>
            <w:tcW w:type="dxa" w:w="2160"/>
          </w:tcPr>
          <w:p>
            <w:r>
              <w:t>Events at issue — LIAB, NOTICE</w:t>
            </w:r>
          </w:p>
        </w:tc>
        <w:tc>
          <w:tcPr>
            <w:tcW w:type="dxa" w:w="2160"/>
          </w:tcPr>
          <w:p>
            <w:r>
              <w:t>Acknowledged the warning label was visible on the gate; denies reading it.</w:t>
            </w:r>
          </w:p>
        </w:tc>
        <w:tc>
          <w:tcPr>
            <w:tcW w:type="dxa" w:w="2160"/>
          </w:tcPr>
          <w:p>
            <w:r>
              <w:t>Ex. 2 referenced at 22:14</w:t>
            </w:r>
          </w:p>
        </w:tc>
      </w:tr>
      <w:tr>
        <w:tc>
          <w:tcPr>
            <w:tcW w:type="dxa" w:w="2160"/>
          </w:tcPr>
          <w:p>
            <w:r>
              <w:t>38:20–39:5</w:t>
            </w:r>
          </w:p>
        </w:tc>
        <w:tc>
          <w:tcPr>
            <w:tcW w:type="dxa" w:w="2160"/>
          </w:tcPr>
          <w:p>
            <w:r>
              <w:t>Policy — NOTICE, IMPEACH</w:t>
            </w:r>
          </w:p>
        </w:tc>
        <w:tc>
          <w:tcPr>
            <w:tcW w:type="dxa" w:w="2160"/>
          </w:tcPr>
          <w:p>
            <w:r>
              <w:t>Confirmed the gate stayed in use because the area was busy; admits no warning was posted.</w:t>
            </w:r>
          </w:p>
        </w:tc>
        <w:tc>
          <w:tcPr>
            <w:tcW w:type="dxa" w:w="2160"/>
          </w:tcPr>
          <w:p>
            <w:r>
              <w:t>Lock-in quote candidate</w:t>
            </w:r>
          </w:p>
        </w:tc>
      </w:tr>
    </w:tbl>
    <w:p>
      <w:r>
        <w:rPr>
          <w:i/>
          <w:sz w:val="18"/>
        </w:rPr>
        <w:t>Rows above are illustrative samples — replace with case facts. Duplicate the three-row block as needed, or copy the blank block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Impeachment / lock-in quotes</w:t>
      </w:r>
    </w:p>
    <w:p>
      <w:r>
        <w:t>Quick list of exact quotes (in quotation marks) with page:line — the sentences you plan to read back to the witness or use at trial.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Page:Line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Quote (exact words in quotation marks)</w:t>
            </w:r>
          </w:p>
        </w:tc>
        <w:tc>
          <w:tcPr>
            <w:tcW w:type="dxa" w:w="2880"/>
          </w:tcPr>
          <w:p>
            <w:r>
              <w:rPr>
                <w:b/>
              </w:rPr>
              <w:t>Why it matters / tag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Exhibit callouts (optional)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Exhibit #</w:t>
            </w:r>
          </w:p>
        </w:tc>
        <w:tc>
          <w:tcPr>
            <w:tcW w:type="dxa" w:w="2880"/>
          </w:tcPr>
          <w:p>
            <w:r>
              <w:rPr>
                <w:b/>
              </w:rPr>
              <w:t>What it is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Referenced at (page:line)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Open items / follow-up</w:t>
      </w:r>
    </w:p>
    <w:p>
      <w:pPr>
        <w:pStyle w:val="ListBullet"/>
      </w:pPr>
      <w:r>
        <w:t>[Needed: document request / interrogatory / subpoena / errata check]</w:t>
      </w:r>
    </w:p>
    <w:p>
      <w:pPr>
        <w:pStyle w:val="ListBullet"/>
      </w:pPr>
      <w:r>
        <w:t>[Topics to cover in another deposition]</w:t>
      </w:r>
    </w:p>
    <w:p>
      <w:pPr>
        <w:pStyle w:val="ListBullet"/>
      </w:pPr>
      <w:r>
        <w:t>[Contradictions to reconcile with documents or other witnesses]</w:t>
      </w:r>
    </w:p>
    <w:p>
      <w:pPr>
        <w:pStyle w:val="Heading1"/>
      </w:pPr>
      <w:r>
        <w:t>Citation QA check (before the summary leaves your desk)</w:t>
      </w:r>
    </w:p>
    <w:p>
      <w:pPr>
        <w:pStyle w:val="ListBullet"/>
      </w:pPr>
      <w:r>
        <w:t>☐ Page:line format matches the transcript (ranges cover the full answer, not just the question).</w:t>
      </w:r>
    </w:p>
    <w:p>
      <w:pPr>
        <w:pStyle w:val="ListBullet"/>
      </w:pPr>
      <w:r>
        <w:t>☐ Spelling of names and places matches the transcript.</w:t>
      </w:r>
    </w:p>
    <w:p>
      <w:pPr>
        <w:pStyle w:val="ListBullet"/>
      </w:pPr>
      <w:r>
        <w:t>☐ Objections noted inline where the reporter logged them (and whether the witness answered over objection).</w:t>
      </w:r>
    </w:p>
    <w:p>
      <w:pPr>
        <w:pStyle w:val="ListBullet"/>
      </w:pPr>
      <w:r>
        <w:t>☐ Exact quotes preserved in quotation marks for admissions and key testimony.</w:t>
      </w:r>
    </w:p>
    <w:p>
      <w:pPr>
        <w:pStyle w:val="ListBullet"/>
      </w:pPr>
      <w:r>
        <w:t>☐ Summary language stays neutral — analysis is labeled as notes/commentary, separate from what was said.</w:t>
      </w:r>
    </w:p>
    <w:p>
      <w:pPr>
        <w:pStyle w:val="ListBullet"/>
      </w:pPr>
      <w:r>
        <w:t>☐ Confidentiality designations preserved if the transcript is designated.</w:t>
      </w:r>
    </w:p>
    <w:p>
      <w:pPr>
        <w:pStyle w:val="Heading1"/>
      </w:pPr>
      <w:r>
        <w:t>Method notes: how this summary gets built faster</w:t>
      </w:r>
    </w:p>
    <w:p>
      <w:r>
        <w:t>Manual pace: an experienced paralegal summarizes roughly 20–25 transcript pages per hour — a 200-page deposition is an 8-hour digest (litigation-support industry benchmarks, 2026). Budget accordingly or use the workflow below.</w:t>
      </w:r>
    </w:p>
    <w:p>
      <w:r>
        <w:t>AI working-copy layer: transcribe the deposition audio locally (VocalFuse, Windows, no upload) and use transcript search to jump between topic hits; draft entries straight from the search hits, then verify each page:line cite against the official transcript before circulating. AI-assisted review runs roughly 40–60 transcript pages per hour.</w:t>
      </w:r>
    </w:p>
    <w:p>
      <w:r>
        <w:t>Format choice: page-line format when exact wording matters (motions, impeachment); topical format when testimony on one issue is scattered across the transcript. Rule of thumb for length: about 1 page of summary per 5–10 pages of transcript.</w:t>
      </w:r>
    </w:p>
    <w:p>
      <w:r>
        <w:t>Cost-recovery note: certified originals and copies are taxable as costs under 28 U.S.C. § 1920(2) when necessarily obtained; convenience working copies generally are not. Keep the cheap layer cheap.</w:t>
      </w:r>
    </w:p>
    <w:p>
      <w:pPr>
        <w:pStyle w:val="Heading1"/>
      </w:pPr>
      <w:r>
        <w:t>Verification chain (why every cite is checked)</w:t>
      </w:r>
    </w:p>
    <w:p>
      <w:r>
        <w:t>A summary is only as good as its citations. Before filing or circulating: re-open the official transcript at each cited range, confirm the wording and the speaker, and confirm the summary sentence does not add inference. If a point will be used in a motion, quote the transcript verbatim in the motion rather than relying on the summary.</w:t>
      </w:r>
    </w:p>
    <w:p>
      <w:r>
        <w:t>This template is general litigation-support information, not legal advice.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