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22222"/>
          <w:sz w:val="44"/>
        </w:rPr>
        <w:t>Interview Transcript Template</w:t>
      </w:r>
    </w:p>
    <w:p>
      <w:pPr>
        <w:jc w:val="center"/>
      </w:pPr>
      <w:r>
        <w:rPr>
          <w:i/>
          <w:color w:val="555555"/>
          <w:sz w:val="22"/>
        </w:rPr>
        <w:t>Verbatim &amp; clean verbatim · free .docx · works in Word, Google Docs, NVivo &amp; ATLAS.ti</w:t>
      </w:r>
    </w:p>
    <w:p>
      <w:pPr>
        <w:spacing w:before="120" w:after="80"/>
      </w:pPr>
      <w:r>
        <w:rPr>
          <w:b/>
          <w:color w:val="B88A2E"/>
          <w:sz w:val="26"/>
        </w:rPr>
        <w:t>How to use this template</w:t>
      </w:r>
    </w:p>
    <w:p>
      <w:pPr>
        <w:pStyle w:val="ListBullet"/>
      </w:pPr>
      <w:r>
        <w:rPr>
          <w:b/>
          <w:sz w:val="21"/>
        </w:rPr>
        <w:t xml:space="preserve">1. Pick a style. </w:t>
      </w:r>
      <w:r>
        <w:rPr>
          <w:sz w:val="21"/>
        </w:rPr>
        <w:t>Decide verbatim vs clean verbatim ONCE per study and apply it to every transcript — never mix styles across participants.</w:t>
      </w:r>
    </w:p>
    <w:p>
      <w:pPr>
        <w:pStyle w:val="ListBullet"/>
      </w:pPr>
      <w:r>
        <w:rPr>
          <w:b/>
          <w:sz w:val="21"/>
        </w:rPr>
        <w:t xml:space="preserve">2. Header every file. </w:t>
      </w:r>
      <w:r>
        <w:rPr>
          <w:sz w:val="21"/>
        </w:rPr>
        <w:t>Paste the header block into every file and fill every field; the consent note is your audit trail.</w:t>
      </w:r>
    </w:p>
    <w:p>
      <w:pPr>
        <w:pStyle w:val="ListBullet"/>
      </w:pPr>
      <w:r>
        <w:rPr>
          <w:b/>
          <w:sz w:val="21"/>
        </w:rPr>
        <w:t xml:space="preserve">3. Speaker turns. </w:t>
      </w:r>
      <w:r>
        <w:rPr>
          <w:sz w:val="21"/>
        </w:rPr>
        <w:t>One speaker per paragraph, always. Never merge two speakers into one block, even for a one-word answer.</w:t>
      </w:r>
    </w:p>
    <w:p>
      <w:pPr>
        <w:pStyle w:val="ListBullet"/>
      </w:pPr>
      <w:r>
        <w:rPr>
          <w:b/>
          <w:sz w:val="21"/>
        </w:rPr>
        <w:t xml:space="preserve">4. Tag non-speech. </w:t>
      </w:r>
      <w:r>
        <w:rPr>
          <w:sz w:val="21"/>
        </w:rPr>
        <w:t>Bracket anything that is not speech: [inaudible 00:14:22], [crosstalk], [pause 3s], [laughs]. Mark uncertainty — don't guess a confident wrong word.</w:t>
      </w:r>
    </w:p>
    <w:p>
      <w:pPr>
        <w:pStyle w:val="ListBullet"/>
      </w:pPr>
      <w:r>
        <w:rPr>
          <w:b/>
          <w:sz w:val="21"/>
        </w:rPr>
        <w:t xml:space="preserve">5. Line numbers last. </w:t>
      </w:r>
      <w:r>
        <w:rPr>
          <w:sz w:val="21"/>
        </w:rPr>
        <w:t>Add line numbers LAST, after final edits, so citations like "P4, lines 212–218" stay stable (Word: Layout → Line Numbers).</w:t>
      </w:r>
    </w:p>
    <w:p>
      <w:pPr>
        <w:spacing w:before="200" w:after="80"/>
      </w:pPr>
      <w:r>
        <w:rPr>
          <w:b/>
          <w:color w:val="B88A2E"/>
          <w:sz w:val="26"/>
        </w:rPr>
        <w:t>Header block — paste at the top of every transcript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880"/>
            <w:shd w:val="clear" w:fill="2B2B2B"/>
          </w:tcPr>
          <w:p>
            <w:r/>
            <w:r>
              <w:rPr>
                <w:b/>
                <w:color w:val="FFFFFF"/>
                <w:sz w:val="19"/>
              </w:rPr>
              <w:t>Field</w:t>
            </w:r>
          </w:p>
        </w:tc>
        <w:tc>
          <w:tcPr>
            <w:tcW w:type="dxa" w:w="7056"/>
            <w:shd w:val="clear" w:fill="2B2B2B"/>
          </w:tcPr>
          <w:p>
            <w:r/>
            <w:r>
              <w:rPr>
                <w:b/>
                <w:color w:val="FFFFFF"/>
                <w:sz w:val="19"/>
              </w:rPr>
              <w:t>Fill in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STUDY ID</w:t>
            </w:r>
          </w:p>
        </w:tc>
        <w:tc>
          <w:tcPr>
            <w:tcW w:type="dxa" w:w="7056"/>
          </w:tcPr>
          <w:p>
            <w:r/>
            <w:r>
              <w:rPr>
                <w:sz w:val="19"/>
              </w:rPr>
              <w:t>[STU-___]  (project code, e.g. STU-014)</w:t>
            </w:r>
          </w:p>
        </w:tc>
      </w:tr>
      <w:tr>
        <w:tc>
          <w:tcPr>
            <w:tcW w:type="dxa" w:w="2880"/>
            <w:shd w:val="clear" w:fill="F4F1EA"/>
          </w:tcPr>
          <w:p>
            <w:r/>
            <w:r>
              <w:rPr>
                <w:sz w:val="19"/>
              </w:rPr>
              <w:t>PARTICIPANT ID</w:t>
            </w:r>
          </w:p>
        </w:tc>
        <w:tc>
          <w:tcPr>
            <w:tcW w:type="dxa" w:w="7056"/>
            <w:shd w:val="clear" w:fill="F4F1EA"/>
          </w:tcPr>
          <w:p>
            <w:r/>
            <w:r>
              <w:rPr>
                <w:sz w:val="19"/>
              </w:rPr>
              <w:t>[P__]  (de-identified code, e.g. P07)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DATE (YYYY-MM-DD)</w:t>
            </w:r>
          </w:p>
        </w:tc>
        <w:tc>
          <w:tcPr>
            <w:tcW w:type="dxa" w:w="7056"/>
          </w:tcPr>
          <w:p>
            <w:r/>
            <w:r>
              <w:rPr>
                <w:sz w:val="19"/>
              </w:rPr>
              <w:t>[____-__-__]</w:t>
            </w:r>
          </w:p>
        </w:tc>
      </w:tr>
      <w:tr>
        <w:tc>
          <w:tcPr>
            <w:tcW w:type="dxa" w:w="2880"/>
            <w:shd w:val="clear" w:fill="F4F1EA"/>
          </w:tcPr>
          <w:p>
            <w:r/>
            <w:r>
              <w:rPr>
                <w:sz w:val="19"/>
              </w:rPr>
              <w:t>INTERVIEWER</w:t>
            </w:r>
          </w:p>
        </w:tc>
        <w:tc>
          <w:tcPr>
            <w:tcW w:type="dxa" w:w="7056"/>
            <w:shd w:val="clear" w:fill="F4F1EA"/>
          </w:tcPr>
          <w:p>
            <w:r/>
            <w:r>
              <w:rPr>
                <w:sz w:val="19"/>
              </w:rPr>
              <w:t>[Name / initials, e.g. INT-JK]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SESSION TYPE</w:t>
            </w:r>
          </w:p>
        </w:tc>
        <w:tc>
          <w:tcPr>
            <w:tcW w:type="dxa" w:w="7056"/>
          </w:tcPr>
          <w:p>
            <w:r/>
            <w:r>
              <w:rPr>
                <w:sz w:val="19"/>
              </w:rPr>
              <w:t>[In-person / Phone / Video call]</w:t>
            </w:r>
          </w:p>
        </w:tc>
      </w:tr>
      <w:tr>
        <w:tc>
          <w:tcPr>
            <w:tcW w:type="dxa" w:w="2880"/>
            <w:shd w:val="clear" w:fill="F4F1EA"/>
          </w:tcPr>
          <w:p>
            <w:r/>
            <w:r>
              <w:rPr>
                <w:sz w:val="19"/>
              </w:rPr>
              <w:t>DURATION</w:t>
            </w:r>
          </w:p>
        </w:tc>
        <w:tc>
          <w:tcPr>
            <w:tcW w:type="dxa" w:w="7056"/>
            <w:shd w:val="clear" w:fill="F4F1EA"/>
          </w:tcPr>
          <w:p>
            <w:r/>
            <w:r>
              <w:rPr>
                <w:sz w:val="19"/>
              </w:rPr>
              <w:t>[HH:MM:SS]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RECORDING FILE</w:t>
            </w:r>
          </w:p>
        </w:tc>
        <w:tc>
          <w:tcPr>
            <w:tcW w:type="dxa" w:w="7056"/>
          </w:tcPr>
          <w:p>
            <w:r/>
            <w:r>
              <w:rPr>
                <w:sz w:val="19"/>
              </w:rPr>
              <w:t>[filename.wav]</w:t>
            </w:r>
          </w:p>
        </w:tc>
      </w:tr>
      <w:tr>
        <w:tc>
          <w:tcPr>
            <w:tcW w:type="dxa" w:w="2880"/>
            <w:shd w:val="clear" w:fill="F4F1EA"/>
          </w:tcPr>
          <w:p>
            <w:r/>
            <w:r>
              <w:rPr>
                <w:sz w:val="19"/>
              </w:rPr>
              <w:t>CONSENT NOTE</w:t>
            </w:r>
          </w:p>
        </w:tc>
        <w:tc>
          <w:tcPr>
            <w:tcW w:type="dxa" w:w="7056"/>
            <w:shd w:val="clear" w:fill="F4F1EA"/>
          </w:tcPr>
          <w:p>
            <w:r/>
            <w:r>
              <w:rPr>
                <w:sz w:val="19"/>
              </w:rPr>
              <w:t>[Verbal consent recorded / written form signed — date]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TRANSCRIPT STYLE</w:t>
            </w:r>
          </w:p>
        </w:tc>
        <w:tc>
          <w:tcPr>
            <w:tcW w:type="dxa" w:w="7056"/>
          </w:tcPr>
          <w:p>
            <w:r/>
            <w:r>
              <w:rPr>
                <w:sz w:val="19"/>
              </w:rPr>
              <w:t>[Verbatim / Clean verbatim]</w:t>
            </w:r>
          </w:p>
        </w:tc>
      </w:tr>
      <w:tr>
        <w:tc>
          <w:tcPr>
            <w:tcW w:type="dxa" w:w="2880"/>
            <w:shd w:val="clear" w:fill="F4F1EA"/>
          </w:tcPr>
          <w:p>
            <w:r/>
            <w:r>
              <w:rPr>
                <w:sz w:val="19"/>
              </w:rPr>
              <w:t>TIMESTAMP RULE</w:t>
            </w:r>
          </w:p>
        </w:tc>
        <w:tc>
          <w:tcPr>
            <w:tcW w:type="dxa" w:w="7056"/>
            <w:shd w:val="clear" w:fill="F4F1EA"/>
          </w:tcPr>
          <w:p>
            <w:r/>
            <w:r>
              <w:rPr>
                <w:sz w:val="19"/>
              </w:rPr>
              <w:t>[Every speaker turn / every 30–60 s / topic changes only]</w:t>
            </w:r>
          </w:p>
        </w:tc>
      </w:tr>
    </w:tbl>
    <w:p>
      <w:pPr>
        <w:spacing w:before="200" w:after="80"/>
      </w:pPr>
      <w:r>
        <w:rPr>
          <w:b/>
          <w:color w:val="B88A2E"/>
          <w:sz w:val="26"/>
        </w:rPr>
        <w:t>Tag legend — standardized bracket tags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  <w:shd w:val="clear" w:fill="2B2B2B"/>
          </w:tcPr>
          <w:p>
            <w:r/>
            <w:r>
              <w:rPr>
                <w:b/>
                <w:color w:val="FFFFFF"/>
                <w:sz w:val="19"/>
              </w:rPr>
              <w:t>Tag</w:t>
            </w:r>
          </w:p>
        </w:tc>
        <w:tc>
          <w:tcPr>
            <w:tcW w:type="dxa" w:w="6768"/>
            <w:shd w:val="clear" w:fill="2B2B2B"/>
          </w:tcPr>
          <w:p>
            <w:r/>
            <w:r>
              <w:rPr>
                <w:b/>
                <w:color w:val="FFFFFF"/>
                <w:sz w:val="19"/>
              </w:rPr>
              <w:t>Use it when</w:t>
            </w:r>
          </w:p>
        </w:tc>
      </w:tr>
      <w:tr>
        <w:tc>
          <w:tcPr>
            <w:tcW w:type="dxa" w:w="3168"/>
          </w:tcPr>
          <w:p>
            <w:r/>
            <w:r>
              <w:rPr>
                <w:sz w:val="19"/>
              </w:rPr>
              <w:t>[inaudible 00:14:22]</w:t>
            </w:r>
          </w:p>
        </w:tc>
        <w:tc>
          <w:tcPr>
            <w:tcW w:type="dxa" w:w="6768"/>
          </w:tcPr>
          <w:p>
            <w:r/>
            <w:r>
              <w:rPr>
                <w:sz w:val="19"/>
              </w:rPr>
              <w:t>Words cannot be heard — put the timestamp inside the tag</w:t>
            </w:r>
          </w:p>
        </w:tc>
      </w:tr>
      <w:tr>
        <w:tc>
          <w:tcPr>
            <w:tcW w:type="dxa" w:w="3168"/>
            <w:shd w:val="clear" w:fill="F4F1EA"/>
          </w:tcPr>
          <w:p>
            <w:r/>
            <w:r>
              <w:rPr>
                <w:sz w:val="19"/>
              </w:rPr>
              <w:t>[unclear: Kessler?]</w:t>
            </w:r>
          </w:p>
        </w:tc>
        <w:tc>
          <w:tcPr>
            <w:tcW w:type="dxa" w:w="6768"/>
            <w:shd w:val="clear" w:fill="F4F1EA"/>
          </w:tcPr>
          <w:p>
            <w:r/>
            <w:r>
              <w:rPr>
                <w:sz w:val="19"/>
              </w:rPr>
              <w:t>Best guess at uncertain words — bracket the guess</w:t>
            </w:r>
          </w:p>
        </w:tc>
      </w:tr>
      <w:tr>
        <w:tc>
          <w:tcPr>
            <w:tcW w:type="dxa" w:w="3168"/>
          </w:tcPr>
          <w:p>
            <w:r/>
            <w:r>
              <w:rPr>
                <w:sz w:val="19"/>
              </w:rPr>
              <w:t>[crosstalk]</w:t>
            </w:r>
          </w:p>
        </w:tc>
        <w:tc>
          <w:tcPr>
            <w:tcW w:type="dxa" w:w="6768"/>
          </w:tcPr>
          <w:p>
            <w:r/>
            <w:r>
              <w:rPr>
                <w:sz w:val="19"/>
              </w:rPr>
              <w:t>Two speakers talk over each other</w:t>
            </w:r>
          </w:p>
        </w:tc>
      </w:tr>
      <w:tr>
        <w:tc>
          <w:tcPr>
            <w:tcW w:type="dxa" w:w="3168"/>
            <w:shd w:val="clear" w:fill="F4F1EA"/>
          </w:tcPr>
          <w:p>
            <w:r/>
            <w:r>
              <w:rPr>
                <w:sz w:val="19"/>
              </w:rPr>
              <w:t>[pause 3s]</w:t>
            </w:r>
          </w:p>
        </w:tc>
        <w:tc>
          <w:tcPr>
            <w:tcW w:type="dxa" w:w="6768"/>
            <w:shd w:val="clear" w:fill="F4F1EA"/>
          </w:tcPr>
          <w:p>
            <w:r/>
            <w:r>
              <w:rPr>
                <w:sz w:val="19"/>
              </w:rPr>
              <w:t>A silence that carries meaning</w:t>
            </w:r>
          </w:p>
        </w:tc>
      </w:tr>
      <w:tr>
        <w:tc>
          <w:tcPr>
            <w:tcW w:type="dxa" w:w="3168"/>
          </w:tcPr>
          <w:p>
            <w:r/>
            <w:r>
              <w:rPr>
                <w:sz w:val="19"/>
              </w:rPr>
              <w:t>[laughs] / [sighs] / [crying]</w:t>
            </w:r>
          </w:p>
        </w:tc>
        <w:tc>
          <w:tcPr>
            <w:tcW w:type="dxa" w:w="6768"/>
          </w:tcPr>
          <w:p>
            <w:r/>
            <w:r>
              <w:rPr>
                <w:sz w:val="19"/>
              </w:rPr>
              <w:t>Vocalizations that change the meaning of the words</w:t>
            </w:r>
          </w:p>
        </w:tc>
      </w:tr>
      <w:tr>
        <w:tc>
          <w:tcPr>
            <w:tcW w:type="dxa" w:w="3168"/>
            <w:shd w:val="clear" w:fill="F4F1EA"/>
          </w:tcPr>
          <w:p>
            <w:r/>
            <w:r>
              <w:rPr>
                <w:sz w:val="19"/>
              </w:rPr>
              <w:t>[nonverbal: nods]</w:t>
            </w:r>
          </w:p>
        </w:tc>
        <w:tc>
          <w:tcPr>
            <w:tcW w:type="dxa" w:w="6768"/>
            <w:shd w:val="clear" w:fill="F4F1EA"/>
          </w:tcPr>
          <w:p>
            <w:r/>
            <w:r>
              <w:rPr>
                <w:sz w:val="19"/>
              </w:rPr>
              <w:t>Gesture that substitutes for an answer</w:t>
            </w:r>
          </w:p>
        </w:tc>
      </w:tr>
    </w:tbl>
    <w:p>
      <w:pPr>
        <w:spacing w:before="200" w:after="80"/>
      </w:pPr>
      <w:r>
        <w:rPr>
          <w:b/>
          <w:color w:val="B88A2E"/>
          <w:sz w:val="26"/>
        </w:rPr>
        <w:t>Verbatim vs clean verbatim — pick one per study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736"/>
            <w:shd w:val="clear" w:fill="2B2B2B"/>
          </w:tcPr>
          <w:p>
            <w:r/>
            <w:r>
              <w:rPr>
                <w:b/>
                <w:color w:val="FFFFFF"/>
                <w:sz w:val="19"/>
              </w:rPr>
              <w:t>Rule</w:t>
            </w:r>
          </w:p>
        </w:tc>
        <w:tc>
          <w:tcPr>
            <w:tcW w:type="dxa" w:w="3600"/>
            <w:shd w:val="clear" w:fill="2B2B2B"/>
          </w:tcPr>
          <w:p>
            <w:r/>
            <w:r>
              <w:rPr>
                <w:b/>
                <w:color w:val="FFFFFF"/>
                <w:sz w:val="19"/>
              </w:rPr>
              <w:t>Verbatim</w:t>
            </w:r>
          </w:p>
        </w:tc>
        <w:tc>
          <w:tcPr>
            <w:tcW w:type="dxa" w:w="3600"/>
            <w:shd w:val="clear" w:fill="2B2B2B"/>
          </w:tcPr>
          <w:p>
            <w:r/>
            <w:r>
              <w:rPr>
                <w:b/>
                <w:color w:val="FFFFFF"/>
                <w:sz w:val="19"/>
              </w:rPr>
              <w:t>Clean verbatim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Filler words (um, uh)</w:t>
            </w:r>
          </w:p>
        </w:tc>
        <w:tc>
          <w:tcPr>
            <w:tcW w:type="dxa" w:w="3600"/>
          </w:tcPr>
          <w:p>
            <w:r/>
            <w:r>
              <w:rPr>
                <w:sz w:val="19"/>
              </w:rPr>
              <w:t>Keep all</w:t>
            </w:r>
          </w:p>
        </w:tc>
        <w:tc>
          <w:tcPr>
            <w:tcW w:type="dxa" w:w="3600"/>
          </w:tcPr>
          <w:p>
            <w:r/>
            <w:r>
              <w:rPr>
                <w:sz w:val="19"/>
              </w:rPr>
              <w:t>Remove</w:t>
            </w:r>
          </w:p>
        </w:tc>
      </w:tr>
      <w:tr>
        <w:tc>
          <w:tcPr>
            <w:tcW w:type="dxa" w:w="2736"/>
            <w:shd w:val="clear" w:fill="F4F1EA"/>
          </w:tcPr>
          <w:p>
            <w:r/>
            <w:r>
              <w:rPr>
                <w:sz w:val="19"/>
              </w:rPr>
              <w:t>False starts &amp; repeats</w:t>
            </w:r>
          </w:p>
        </w:tc>
        <w:tc>
          <w:tcPr>
            <w:tcW w:type="dxa" w:w="3600"/>
            <w:shd w:val="clear" w:fill="F4F1EA"/>
          </w:tcPr>
          <w:p>
            <w:r/>
            <w:r>
              <w:rPr>
                <w:sz w:val="19"/>
              </w:rPr>
              <w:t>Keep, stutters included</w:t>
            </w:r>
          </w:p>
        </w:tc>
        <w:tc>
          <w:tcPr>
            <w:tcW w:type="dxa" w:w="3600"/>
            <w:shd w:val="clear" w:fill="F4F1EA"/>
          </w:tcPr>
          <w:p>
            <w:r/>
            <w:r>
              <w:rPr>
                <w:sz w:val="19"/>
              </w:rPr>
              <w:t>Remove unless emphasis is meaningful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Grammar</w:t>
            </w:r>
          </w:p>
        </w:tc>
        <w:tc>
          <w:tcPr>
            <w:tcW w:type="dxa" w:w="3600"/>
          </w:tcPr>
          <w:p>
            <w:r/>
            <w:r>
              <w:rPr>
                <w:sz w:val="19"/>
              </w:rPr>
              <w:t>As spoken</w:t>
            </w:r>
          </w:p>
        </w:tc>
        <w:tc>
          <w:tcPr>
            <w:tcW w:type="dxa" w:w="3600"/>
          </w:tcPr>
          <w:p>
            <w:r/>
            <w:r>
              <w:rPr>
                <w:sz w:val="19"/>
              </w:rPr>
              <w:t>Light fix that doesn't change meaning</w:t>
            </w:r>
          </w:p>
        </w:tc>
      </w:tr>
      <w:tr>
        <w:tc>
          <w:tcPr>
            <w:tcW w:type="dxa" w:w="2736"/>
            <w:shd w:val="clear" w:fill="F4F1EA"/>
          </w:tcPr>
          <w:p>
            <w:r/>
            <w:r>
              <w:rPr>
                <w:sz w:val="19"/>
              </w:rPr>
              <w:t>Pauses / emotion</w:t>
            </w:r>
          </w:p>
        </w:tc>
        <w:tc>
          <w:tcPr>
            <w:tcW w:type="dxa" w:w="3600"/>
            <w:shd w:val="clear" w:fill="F4F1EA"/>
          </w:tcPr>
          <w:p>
            <w:r/>
            <w:r>
              <w:rPr>
                <w:sz w:val="19"/>
              </w:rPr>
              <w:t>Tag [pause], [laughs]</w:t>
            </w:r>
          </w:p>
        </w:tc>
        <w:tc>
          <w:tcPr>
            <w:tcW w:type="dxa" w:w="3600"/>
            <w:shd w:val="clear" w:fill="F4F1EA"/>
          </w:tcPr>
          <w:p>
            <w:r/>
            <w:r>
              <w:rPr>
                <w:sz w:val="19"/>
              </w:rPr>
              <w:t>Tag only meaning-carrying ones</w:t>
            </w:r>
          </w:p>
        </w:tc>
      </w:tr>
      <w:tr>
        <w:tc>
          <w:tcPr>
            <w:tcW w:type="dxa" w:w="2736"/>
          </w:tcPr>
          <w:p>
            <w:r/>
            <w:r>
              <w:rPr>
                <w:sz w:val="19"/>
              </w:rPr>
              <w:t>Best for</w:t>
            </w:r>
          </w:p>
        </w:tc>
        <w:tc>
          <w:tcPr>
            <w:tcW w:type="dxa" w:w="3600"/>
          </w:tcPr>
          <w:p>
            <w:r/>
            <w:r>
              <w:rPr>
                <w:sz w:val="19"/>
              </w:rPr>
              <w:t>How they said it matters (legal, discourse, sensitive topics)</w:t>
            </w:r>
          </w:p>
        </w:tc>
        <w:tc>
          <w:tcPr>
            <w:tcW w:type="dxa" w:w="3600"/>
          </w:tcPr>
          <w:p>
            <w:r/>
            <w:r>
              <w:rPr>
                <w:sz w:val="19"/>
              </w:rPr>
              <w:t>Faster reading &amp; coding (most UX and market research)</w:t>
            </w:r>
          </w:p>
        </w:tc>
      </w:tr>
    </w:tbl>
    <w:p>
      <w:pPr>
        <w:spacing w:before="200" w:after="80"/>
      </w:pPr>
      <w:r>
        <w:rPr>
          <w:b/>
          <w:color w:val="B88A2E"/>
          <w:sz w:val="26"/>
        </w:rPr>
        <w:t>Worked example — clean verbatim</w:t>
      </w:r>
    </w:p>
    <w:p>
      <w:pPr>
        <w:spacing w:after="40"/>
      </w:pPr>
      <w:r>
        <w:rPr>
          <w:rFonts w:ascii="Courier New" w:hAnsi="Courier New"/>
          <w:b w:val="0"/>
          <w:i w:val="0"/>
          <w:sz w:val="21"/>
        </w:rPr>
        <w:t>INT:  [00:00] Thanks for joining. How did you first hear about the product?</w:t>
      </w:r>
    </w:p>
    <w:p>
      <w:pPr>
        <w:spacing w:after="40"/>
      </w:pPr>
      <w:r>
        <w:rPr>
          <w:rFonts w:ascii="Courier New" w:hAnsi="Courier New"/>
          <w:b w:val="0"/>
          <w:i w:val="0"/>
          <w:sz w:val="21"/>
        </w:rPr>
        <w:t>P07:   [00:07] A colleague mentioned it, and I looked at the website that same night.</w:t>
      </w:r>
    </w:p>
    <w:p>
      <w:pPr>
        <w:spacing w:after="160"/>
      </w:pPr>
      <w:r>
        <w:rPr>
          <w:rFonts w:ascii="Courier New" w:hAnsi="Courier New"/>
          <w:b w:val="0"/>
          <w:i w:val="0"/>
          <w:sz w:val="21"/>
        </w:rPr>
        <w:t>INT:  [00:19] What almost stopped you from signing up?</w:t>
      </w:r>
    </w:p>
    <w:p>
      <w:pPr>
        <w:spacing w:after="160"/>
      </w:pPr>
      <w:r>
        <w:rPr>
          <w:rFonts w:ascii="Courier New" w:hAnsi="Courier New"/>
          <w:b w:val="0"/>
          <w:i w:val="0"/>
          <w:sz w:val="21"/>
        </w:rPr>
        <w:t>P07:   [00:24] Honestly, the pricing page. I couldn't tell what the free tier included, so I [pause 2s] assumed it was a trial that would bill me later.</w:t>
      </w:r>
    </w:p>
    <w:p>
      <w:pPr>
        <w:spacing w:before="200" w:after="80"/>
      </w:pPr>
      <w:r>
        <w:rPr>
          <w:b/>
          <w:color w:val="B88A2E"/>
          <w:sz w:val="26"/>
        </w:rPr>
        <w:t>Same passage — full verbatim (for comparison)</w:t>
      </w:r>
    </w:p>
    <w:p>
      <w:pPr>
        <w:spacing w:after="40"/>
      </w:pPr>
      <w:r>
        <w:rPr>
          <w:rFonts w:ascii="Courier New" w:hAnsi="Courier New"/>
          <w:b w:val="0"/>
          <w:i w:val="0"/>
          <w:sz w:val="21"/>
        </w:rPr>
        <w:t>INT:  [00:00] Thanks for, um, thanks for joining. How did you first hear about the, the product?</w:t>
      </w:r>
    </w:p>
    <w:p>
      <w:pPr>
        <w:spacing w:after="160"/>
      </w:pPr>
      <w:r>
        <w:rPr>
          <w:rFonts w:ascii="Courier New" w:hAnsi="Courier New"/>
          <w:b w:val="0"/>
          <w:i w:val="0"/>
          <w:sz w:val="21"/>
        </w:rPr>
        <w:t>P07:   [00:07] Yeah, so, uh, a colleague mentioned it, and then I, I looked at the website that night. Or, well, the same night.</w:t>
      </w:r>
    </w:p>
    <w:p>
      <w:pPr>
        <w:spacing w:after="80"/>
      </w:pPr>
      <w:r>
        <w:rPr>
          <w:b w:val="0"/>
          <w:i/>
          <w:color w:val="555555"/>
          <w:sz w:val="19"/>
        </w:rPr>
        <w:t>Timestamps open each speaker turn (HH:MM:SS or MM:SS). Speaker labels: INT: and P__: — decide labels once per study and never rename them mid-project.</w:t>
      </w:r>
    </w:p>
    <w:p>
      <w:pPr>
        <w:spacing w:before="200" w:after="80"/>
      </w:pPr>
      <w:r>
        <w:rPr>
          <w:b/>
          <w:color w:val="B88A2E"/>
          <w:sz w:val="26"/>
        </w:rPr>
        <w:t>Citation &amp; anonymization rules</w:t>
      </w:r>
    </w:p>
    <w:p>
      <w:pPr>
        <w:pStyle w:val="ListBullet"/>
      </w:pPr>
      <w:r>
        <w:rPr>
          <w:sz w:val="21"/>
        </w:rPr>
        <w:t>Add line numbers only after final edits (Word: Layout → Line Numbers → Continuous). Cite as "P07, lines 212–218".</w:t>
      </w:r>
    </w:p>
    <w:p>
      <w:pPr>
        <w:pStyle w:val="ListBullet"/>
      </w:pPr>
      <w:r>
        <w:rPr>
          <w:sz w:val="21"/>
        </w:rPr>
        <w:t>Replace every real name with the participant code before sharing — including names the participant says out loud about others.</w:t>
      </w:r>
    </w:p>
    <w:p>
      <w:pPr>
        <w:pStyle w:val="ListBullet"/>
      </w:pPr>
      <w:r>
        <w:rPr>
          <w:sz w:val="21"/>
        </w:rPr>
        <w:t>Keep the consent note in the header; it is the audit trail IRBs and legal teams ask for.</w:t>
      </w:r>
    </w:p>
    <w:p>
      <w:pPr>
        <w:pStyle w:val="ListBullet"/>
      </w:pPr>
      <w:r>
        <w:rPr>
          <w:sz w:val="21"/>
        </w:rPr>
        <w:t>Never let a speaker's words and another speaker's tags share a paragraph — tags attach to the turn they interrupt.</w:t>
      </w:r>
    </w:p>
    <w:p>
      <w:pPr>
        <w:spacing w:before="200" w:after="80"/>
      </w:pPr>
      <w:r>
        <w:rPr>
          <w:b/>
          <w:color w:val="B88A2E"/>
          <w:sz w:val="26"/>
        </w:rPr>
        <w:t>Before you submit, share, or code this transcript</w:t>
      </w:r>
    </w:p>
    <w:p>
      <w:r>
        <w:rPr>
          <w:sz w:val="21"/>
        </w:rPr>
        <w:t xml:space="preserve">☐  </w:t>
      </w:r>
      <w:r>
        <w:rPr>
          <w:sz w:val="21"/>
        </w:rPr>
        <w:t>Header complete: study ID, participant ID, date, interviewer, session type, duration, consent note</w:t>
      </w:r>
    </w:p>
    <w:p>
      <w:r>
        <w:rPr>
          <w:sz w:val="21"/>
        </w:rPr>
        <w:t xml:space="preserve">☐  </w:t>
      </w:r>
      <w:r>
        <w:rPr>
          <w:sz w:val="21"/>
        </w:rPr>
        <w:t>Style declared (verbatim or clean verbatim) and applied consistently throughout</w:t>
      </w:r>
    </w:p>
    <w:p>
      <w:r>
        <w:rPr>
          <w:sz w:val="21"/>
        </w:rPr>
        <w:t xml:space="preserve">☐  </w:t>
      </w:r>
      <w:r>
        <w:rPr>
          <w:sz w:val="21"/>
        </w:rPr>
        <w:t>One speaker per paragraph, labels consistent (no Speaker 1/Speaker 2 left from AI output)</w:t>
      </w:r>
    </w:p>
    <w:p>
      <w:r>
        <w:rPr>
          <w:sz w:val="21"/>
        </w:rPr>
        <w:t xml:space="preserve">☐  </w:t>
      </w:r>
      <w:r>
        <w:rPr>
          <w:sz w:val="21"/>
        </w:rPr>
        <w:t>Every [inaudible] tag carries a timestamp; no confident guesses on uncertain words</w:t>
      </w:r>
    </w:p>
    <w:p>
      <w:r>
        <w:rPr>
          <w:sz w:val="21"/>
        </w:rPr>
        <w:t xml:space="preserve">☐  </w:t>
      </w:r>
      <w:r>
        <w:rPr>
          <w:sz w:val="21"/>
        </w:rPr>
        <w:t>Line numbers added after final edits, not before</w:t>
      </w:r>
    </w:p>
    <w:p>
      <w:r>
        <w:rPr>
          <w:sz w:val="21"/>
        </w:rPr>
        <w:t xml:space="preserve">☐  </w:t>
      </w:r>
      <w:r>
        <w:rPr>
          <w:sz w:val="21"/>
        </w:rPr>
        <w:t>All real names replaced with participant codes</w:t>
      </w:r>
    </w:p>
    <w:p>
      <w:pPr>
        <w:spacing w:after="40"/>
      </w:pPr>
      <w:r>
        <w:rPr>
          <w:b w:val="0"/>
          <w:i w:val="0"/>
          <w:sz w:val="21"/>
        </w:rPr>
        <w:t xml:space="preserve"> </w:t>
      </w:r>
    </w:p>
    <w:p>
      <w:pPr>
        <w:jc w:val="center"/>
      </w:pPr>
      <w:r>
        <w:rPr>
          <w:color w:val="555555"/>
          <w:sz w:val="18"/>
        </w:rPr>
        <w:t>Free template from fuseintelligence.org/interview-transcription — no email gate.</w:t>
      </w:r>
    </w:p>
    <w:p>
      <w:pPr>
        <w:jc w:val="center"/>
      </w:pPr>
      <w:r>
        <w:rPr>
          <w:b/>
          <w:color w:val="B88A2E"/>
          <w:sz w:val="18"/>
        </w:rPr>
        <w:t>VocalFuse transcribes interviews locally on your Windows PC — speaker-labeled, offline, flat $5/mo.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