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Vibe Coding Policy Template</w:t>
      </w:r>
    </w:p>
    <w:p>
      <w:r>
        <w:t>A one-page policy your engineering org can adapt in an afternoon: who may build with AI, what data may enter prompts, which review gates apply, and who owns what ships. Every rule carries its enforcement mechanism - a rule that depends on memory becomes optional under deadline pressure. Fill every [bracket], delete what does not apply, and have legal review before treating it as authoritative.</w:t>
      </w:r>
    </w:p>
    <w:p>
      <w:pPr>
        <w:pStyle w:val="Heading1"/>
      </w:pPr>
      <w:r>
        <w:t>1. Header and ownership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Organization</w:t>
            </w:r>
          </w:p>
        </w:tc>
        <w:tc>
          <w:tcPr>
            <w:tcW w:type="dxa" w:w="4320"/>
          </w:tcPr>
          <w:p>
            <w:r>
              <w:t>[ORGANIZATION]</w:t>
            </w:r>
          </w:p>
        </w:tc>
      </w:tr>
      <w:tr>
        <w:tc>
          <w:tcPr>
            <w:tcW w:type="dxa" w:w="4320"/>
          </w:tcPr>
          <w:p>
            <w:r>
              <w:t>Policy owner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t>Version / effective date</w:t>
            </w:r>
          </w:p>
        </w:tc>
        <w:tc>
          <w:tcPr>
            <w:tcW w:type="dxa" w:w="4320"/>
          </w:tcPr>
          <w:p>
            <w:r>
              <w:t>[v1.0] / [date]</w:t>
            </w:r>
          </w:p>
        </w:tc>
      </w:tr>
      <w:tr>
        <w:tc>
          <w:tcPr>
            <w:tcW w:type="dxa" w:w="4320"/>
          </w:tcPr>
          <w:p>
            <w:r>
              <w:t>Review cadence</w:t>
            </w:r>
          </w:p>
        </w:tc>
        <w:tc>
          <w:tcPr>
            <w:tcW w:type="dxa" w:w="4320"/>
          </w:tcPr>
          <w:p>
            <w:r>
              <w:t>quarterly (next review [date])</w:t>
            </w:r>
          </w:p>
        </w:tc>
      </w:tr>
      <w:tr>
        <w:tc>
          <w:tcPr>
            <w:tcW w:type="dxa" w:w="4320"/>
          </w:tcPr>
          <w:p>
            <w:r>
              <w:t>Applies to</w:t>
            </w:r>
          </w:p>
        </w:tc>
        <w:tc>
          <w:tcPr>
            <w:tcW w:type="dxa" w:w="4320"/>
          </w:tcPr>
          <w:p>
            <w:r>
              <w:t>all employees, contractors, and embedded consultants touching company code</w:t>
            </w:r>
          </w:p>
        </w:tc>
      </w:tr>
      <w:tr>
        <w:tc>
          <w:tcPr>
            <w:tcW w:type="dxa" w:w="4320"/>
          </w:tcPr>
          <w:p>
            <w:r>
              <w:t>Approved by</w:t>
            </w:r>
          </w:p>
        </w:tc>
        <w:tc>
          <w:tcPr>
            <w:tcW w:type="dxa" w:w="4320"/>
          </w:tcPr>
          <w:p>
            <w:r>
              <w:t>[legal/security sign-off]</w:t>
            </w:r>
          </w:p>
        </w:tc>
      </w:tr>
    </w:tbl>
    <w:p>
      <w:pPr>
        <w:pStyle w:val="Heading1"/>
      </w:pPr>
      <w:r>
        <w:t>2. Sanctioned tools and accounts</w:t>
      </w:r>
    </w:p>
    <w:p>
      <w:pPr>
        <w:pStyle w:val="ListBullet"/>
      </w:pPr>
      <w:r>
        <w:t>Sanctioned tools: [Claude Code, Cursor, GitHub Copilot, Codex CLI, VibeFuse] on company accounts only.</w:t>
      </w:r>
    </w:p>
    <w:p>
      <w:pPr>
        <w:pStyle w:val="ListBullet"/>
      </w:pPr>
      <w:r>
        <w:t>Consumer and free tiers are prohibited for work on company code - the account tier is enforced at login (SSO), not by goodwill.</w:t>
      </w:r>
    </w:p>
    <w:p>
      <w:pPr>
        <w:pStyle w:val="ListBullet"/>
      </w:pPr>
      <w:r>
        <w:t>New tools: request approval from [policy owner] before first use. Requests answered within [5] business days.</w:t>
      </w:r>
    </w:p>
    <w:p>
      <w:pPr>
        <w:pStyle w:val="ListBullet"/>
      </w:pPr>
      <w:r>
        <w:t>Vendor telemetry set to minimum: suggestions-matching-public-code filters enabled, prompt/suggestion retention disabled where the vendor exposes the switch.</w:t>
      </w:r>
    </w:p>
    <w:p>
      <w:pPr>
        <w:pStyle w:val="Heading1"/>
      </w:pPr>
      <w:r>
        <w:t>3. Data rules by classification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Data class</w:t>
            </w:r>
          </w:p>
        </w:tc>
        <w:tc>
          <w:tcPr>
            <w:tcW w:type="dxa" w:w="2880"/>
          </w:tcPr>
          <w:p>
            <w:r>
              <w:t>May enter prompts / cloud tools?</w:t>
            </w:r>
          </w:p>
        </w:tc>
        <w:tc>
          <w:tcPr>
            <w:tcW w:type="dxa" w:w="2880"/>
          </w:tcPr>
          <w:p>
            <w:r>
              <w:t>Handling rule</w:t>
            </w:r>
          </w:p>
        </w:tc>
      </w:tr>
      <w:tr>
        <w:tc>
          <w:tcPr>
            <w:tcW w:type="dxa" w:w="2880"/>
          </w:tcPr>
          <w:p>
            <w:r>
              <w:t>Public</w:t>
            </w:r>
          </w:p>
        </w:tc>
        <w:tc>
          <w:tcPr>
            <w:tcW w:type="dxa" w:w="2880"/>
          </w:tcPr>
          <w:p>
            <w:r>
              <w:t>Yes</w:t>
            </w:r>
          </w:p>
        </w:tc>
        <w:tc>
          <w:tcPr>
            <w:tcW w:type="dxa" w:w="2880"/>
          </w:tcPr>
          <w:p>
            <w:r>
              <w:t>No restrictions beyond the sanctioned-tools rule.</w:t>
            </w:r>
          </w:p>
        </w:tc>
      </w:tr>
      <w:tr>
        <w:tc>
          <w:tcPr>
            <w:tcW w:type="dxa" w:w="2880"/>
          </w:tcPr>
          <w:p>
            <w:r>
              <w:t>Internal</w:t>
            </w:r>
          </w:p>
        </w:tc>
        <w:tc>
          <w:tcPr>
            <w:tcW w:type="dxa" w:w="2880"/>
          </w:tcPr>
          <w:p>
            <w:r>
              <w:t>Yes, on sanctioned enterprise accounts only</w:t>
            </w:r>
          </w:p>
        </w:tc>
        <w:tc>
          <w:tcPr>
            <w:tcW w:type="dxa" w:w="2880"/>
          </w:tcPr>
          <w:p>
            <w:r>
              <w:t>No customer data, no credentials, no PII. Enterprise data-handling terms apply.</w:t>
            </w:r>
          </w:p>
        </w:tc>
      </w:tr>
      <w:tr>
        <w:tc>
          <w:tcPr>
            <w:tcW w:type="dxa" w:w="2880"/>
          </w:tcPr>
          <w:p>
            <w:r>
              <w:t>Confidential / regulated (PII, PHI, PCI, secrets)</w:t>
            </w:r>
          </w:p>
        </w:tc>
        <w:tc>
          <w:tcPr>
            <w:tcW w:type="dxa" w:w="2880"/>
          </w:tcPr>
          <w:p>
            <w:r>
              <w:t>No - local-only tools or not at all</w:t>
            </w:r>
          </w:p>
        </w:tc>
        <w:tc>
          <w:tcPr>
            <w:tcW w:type="dxa" w:w="2880"/>
          </w:tcPr>
          <w:p>
            <w:r>
              <w:t>Confidential code and personal data stay local-only (air-gapped or on-device models) or never enter a prompt. OWASP LLM02: sensitive information disclosure is a top AI-application risk.</w:t>
            </w:r>
          </w:p>
        </w:tc>
      </w:tr>
    </w:tbl>
    <w:p>
      <w:pPr>
        <w:pStyle w:val="Heading1"/>
      </w:pPr>
      <w:r>
        <w:t>4. Task rules for agent runs</w:t>
      </w:r>
    </w:p>
    <w:p>
      <w:pPr>
        <w:pStyle w:val="ListBullet"/>
      </w:pPr>
      <w:r>
        <w:t>Every agent run has a written task and boundary: what it may change, which paths it may not touch, and what done means.</w:t>
      </w:r>
    </w:p>
    <w:p>
      <w:pPr>
        <w:pStyle w:val="ListBullet"/>
      </w:pPr>
      <w:r>
        <w:t>Agents get least-privilege credentials: a scoped account, not a personal admin token. Secrets reachable by an agent are enumerated and time-boxed.</w:t>
      </w:r>
    </w:p>
    <w:p>
      <w:pPr>
        <w:pStyle w:val="ListBullet"/>
      </w:pPr>
      <w:r>
        <w:t>Agents never run against production infrastructure, production data, or [DESIGNATED_HIGH_RISK_SYSTEMS] without an explicit written grant.</w:t>
      </w:r>
    </w:p>
    <w:p>
      <w:pPr>
        <w:pStyle w:val="ListBullet"/>
      </w:pPr>
      <w:r>
        <w:t>Killing a run that drifts is always allowed and never penalized.</w:t>
      </w:r>
    </w:p>
    <w:p>
      <w:pPr>
        <w:pStyle w:val="Heading1"/>
      </w:pPr>
      <w:r>
        <w:t>5. Verification and review duties</w:t>
      </w:r>
    </w:p>
    <w:p>
      <w:pPr>
        <w:pStyle w:val="ListBullet"/>
      </w:pPr>
      <w:r>
        <w:t>The human who runs the agent owns every line that merges. You must be able to explain the change to a reviewer without re-prompting.</w:t>
      </w:r>
    </w:p>
    <w:p>
      <w:pPr>
        <w:pStyle w:val="ListBullet"/>
      </w:pPr>
      <w:r>
        <w:t>Every AI-assisted change is reviewed by a human who is not the author before merge.</w:t>
      </w:r>
    </w:p>
    <w:p>
      <w:pPr>
        <w:pStyle w:val="ListBullet"/>
      </w:pPr>
      <w:r>
        <w:t>Verification checklist per change: I understand every line; edge cases tested, not just the happy path; no hardcoded credentials or internal URLs; error handling matches team patterns; dependencies on the approved list and pinned with a lockfile.</w:t>
      </w:r>
    </w:p>
    <w:p>
      <w:pPr>
        <w:pStyle w:val="ListBullet"/>
      </w:pPr>
      <w:r>
        <w:t>High blast-radius paths ([SECURITY_CRITICAL_PATHS]) require two reviewers regardless of authorship.</w:t>
      </w:r>
    </w:p>
    <w:p>
      <w:pPr>
        <w:pStyle w:val="ListBullet"/>
      </w:pPr>
      <w:r>
        <w:t>Provenance: substantial AI-generated content is labeled (commit trailer, e.g. Assisted-by: tool-name) so reviewers can calibrate scrutiny.</w:t>
      </w:r>
    </w:p>
    <w:p>
      <w:pPr>
        <w:pStyle w:val="Heading1"/>
      </w:pPr>
      <w:r>
        <w:t>6. Access tiers instead of a ban</w:t>
      </w:r>
    </w:p>
    <w:p>
      <w:r>
        <w:t>A flat ban pushes usage onto personal devices, where none of these controls exist. Tier instead: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Tier</w:t>
            </w:r>
          </w:p>
        </w:tc>
        <w:tc>
          <w:tcPr>
            <w:tcW w:type="dxa" w:w="2160"/>
          </w:tcPr>
          <w:p>
            <w:r>
              <w:t>Who</w:t>
            </w:r>
          </w:p>
        </w:tc>
        <w:tc>
          <w:tcPr>
            <w:tcW w:type="dxa" w:w="2160"/>
          </w:tcPr>
          <w:p>
            <w:r>
              <w:t>What they may build</w:t>
            </w:r>
          </w:p>
        </w:tc>
        <w:tc>
          <w:tcPr>
            <w:tcW w:type="dxa" w:w="2160"/>
          </w:tcPr>
          <w:p>
            <w:r>
              <w:t>Gate</w:t>
            </w:r>
          </w:p>
        </w:tc>
      </w:tr>
      <w:tr>
        <w:tc>
          <w:tcPr>
            <w:tcW w:type="dxa" w:w="2160"/>
          </w:tcPr>
          <w:p>
            <w:r>
              <w:t>Tier 1 - Sandbox</w:t>
            </w:r>
          </w:p>
        </w:tc>
        <w:tc>
          <w:tcPr>
            <w:tcW w:type="dxa" w:w="2160"/>
          </w:tcPr>
          <w:p>
            <w:r>
              <w:t>All staff after [training module]</w:t>
            </w:r>
          </w:p>
        </w:tc>
        <w:tc>
          <w:tcPr>
            <w:tcW w:type="dxa" w:w="2160"/>
          </w:tcPr>
          <w:p>
            <w:r>
              <w:t>Personal prototypes and demos on sample/staging data</w:t>
            </w:r>
          </w:p>
        </w:tc>
        <w:tc>
          <w:tcPr>
            <w:tcW w:type="dxa" w:w="2160"/>
          </w:tcPr>
          <w:p>
            <w:r>
              <w:t>Auto-approved; nothing deploys</w:t>
            </w:r>
          </w:p>
        </w:tc>
      </w:tr>
      <w:tr>
        <w:tc>
          <w:tcPr>
            <w:tcW w:type="dxa" w:w="2160"/>
          </w:tcPr>
          <w:p>
            <w:r>
              <w:t>Tier 2 - Internal</w:t>
            </w:r>
          </w:p>
        </w:tc>
        <w:tc>
          <w:tcPr>
            <w:tcW w:type="dxa" w:w="2160"/>
          </w:tcPr>
          <w:p>
            <w:r>
              <w:t>[approved builders]</w:t>
            </w:r>
          </w:p>
        </w:tc>
        <w:tc>
          <w:tcPr>
            <w:tcW w:type="dxa" w:w="2160"/>
          </w:tcPr>
          <w:p>
            <w:r>
              <w:t>Internal tools on staging data with named owner</w:t>
            </w:r>
          </w:p>
        </w:tc>
        <w:tc>
          <w:tcPr>
            <w:tcW w:type="dxa" w:w="2160"/>
          </w:tcPr>
          <w:p>
            <w:r>
              <w:t>Registration + peer review before sharing beyond the team</w:t>
            </w:r>
          </w:p>
        </w:tc>
      </w:tr>
      <w:tr>
        <w:tc>
          <w:tcPr>
            <w:tcW w:type="dxa" w:w="2160"/>
          </w:tcPr>
          <w:p>
            <w:r>
              <w:t>Tier 3 - Production</w:t>
            </w:r>
          </w:p>
        </w:tc>
        <w:tc>
          <w:tcPr>
            <w:tcW w:type="dxa" w:w="2160"/>
          </w:tcPr>
          <w:p>
            <w:r>
              <w:t>[senior engineers / teams with on-call]</w:t>
            </w:r>
          </w:p>
        </w:tc>
        <w:tc>
          <w:tcPr>
            <w:tcW w:type="dxa" w:w="2160"/>
          </w:tcPr>
          <w:p>
            <w:r>
              <w:t>Production-facing software</w:t>
            </w:r>
          </w:p>
        </w:tc>
        <w:tc>
          <w:tcPr>
            <w:tcW w:type="dxa" w:w="2160"/>
          </w:tcPr>
          <w:p>
            <w:r>
              <w:t>Full review, security sign-off, register entry, audit trail</w:t>
            </w:r>
          </w:p>
        </w:tc>
      </w:tr>
    </w:tbl>
    <w:p>
      <w:pPr>
        <w:pStyle w:val="Heading1"/>
      </w:pPr>
      <w:r>
        <w:t>7. The register</w:t>
      </w:r>
    </w:p>
    <w:p>
      <w:r>
        <w:t>Every AI-built app that leaves a laptop is registered at creation time:</w:t>
      </w:r>
    </w:p>
    <w:p>
      <w:pPr>
        <w:pStyle w:val="ListBullet"/>
      </w:pPr>
      <w:r>
        <w:t>Name, builder, date registered</w:t>
      </w:r>
    </w:p>
    <w:p>
      <w:pPr>
        <w:pStyle w:val="ListBullet"/>
      </w:pPr>
      <w:r>
        <w:t>Data touched (class from section 3) and deployment target</w:t>
      </w:r>
    </w:p>
    <w:p>
      <w:pPr>
        <w:pStyle w:val="ListBullet"/>
      </w:pPr>
      <w:r>
        <w:t>Named owner</w:t>
      </w:r>
    </w:p>
    <w:p>
      <w:pPr>
        <w:pStyle w:val="ListBullet"/>
      </w:pPr>
      <w:r>
        <w:t>Review status (tier gate passed / pending)</w:t>
      </w:r>
    </w:p>
    <w:p>
      <w:pPr>
        <w:pStyle w:val="ListBullet"/>
      </w:pPr>
      <w:r>
        <w:t>Audit trail pointer (repo, session logs, lineage)</w:t>
      </w:r>
    </w:p>
    <w:p>
      <w:r>
        <w:t>The register lives at [location/tool] and is reviewed at the quarterly policy review. An unregistered app discovered in production is a policy incident regardless of code quality.</w:t>
      </w:r>
    </w:p>
    <w:p>
      <w:pPr>
        <w:pStyle w:val="Heading1"/>
      </w:pPr>
      <w:r>
        <w:t>8. Exceptions and violations</w:t>
      </w:r>
    </w:p>
    <w:p>
      <w:pPr>
        <w:pStyle w:val="ListBullet"/>
      </w:pPr>
      <w:r>
        <w:t>Exceptions: request in writing to [policy owner]; granted with an expiry date, never indefinitely.</w:t>
      </w:r>
    </w:p>
    <w:p>
      <w:pPr>
        <w:pStyle w:val="ListBullet"/>
      </w:pPr>
      <w:r>
        <w:t>Violations handled per [HR/security incident process]; disabling or bypassing CI enforcement checks is itself a violation.</w:t>
      </w:r>
    </w:p>
    <w:p>
      <w:pPr>
        <w:pStyle w:val="ListBullet"/>
      </w:pPr>
      <w:r>
        <w:t>This policy enables safe adoption - it does not restrict it. Questions go to [policy owner / channel].</w:t>
      </w:r>
    </w:p>
    <w:p/>
    <w:p>
      <w:r>
        <w:t>Sources informing this template: LLVM AIToolPolicy (human-in-the-loop, labeling), pip and requests AI_POLICY.md (authorship and copyright ownership), Rust RFC 3950 (five contribution prohibitions), the AQ team staged rollout plan (guardrails before first seat), and the Cloud Security Alliance vibe-coding governance guidance (tiered, citizen-developer-accessible controls). Free to adapt - no attribution required.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